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ascii="Arial" w:hAnsi="Arial" w:eastAsia="宋体"/>
          <w:b/>
          <w:i/>
          <w:sz w:val="24"/>
          <w:szCs w:val="22"/>
        </w:rPr>
      </w:pPr>
      <w:r>
        <w:rPr>
          <w:rFonts w:hint="eastAsia" w:ascii="Arial" w:hAnsi="Arial" w:eastAsia="宋体"/>
          <w:b/>
          <w:sz w:val="22"/>
          <w:szCs w:val="22"/>
        </w:rPr>
        <w:t>3GPP TSG-RAN WG2 Meeting #101bis</w:t>
      </w:r>
      <w:r>
        <w:rPr>
          <w:rFonts w:ascii="Arial" w:hAnsi="Arial" w:eastAsia="宋体"/>
          <w:b/>
          <w:i/>
          <w:sz w:val="22"/>
          <w:szCs w:val="22"/>
        </w:rPr>
        <w:t xml:space="preserve"> </w:t>
      </w:r>
      <w:r>
        <w:rPr>
          <w:rFonts w:hint="eastAsia" w:ascii="Arial" w:hAnsi="Arial" w:eastAsia="宋体"/>
          <w:b/>
          <w:i/>
          <w:sz w:val="22"/>
          <w:szCs w:val="22"/>
          <w:lang w:val="en-US" w:eastAsia="zh-CN"/>
        </w:rPr>
        <w:t xml:space="preserve">                                                            </w:t>
      </w:r>
      <w:r>
        <w:rPr>
          <w:rFonts w:hint="eastAsia" w:ascii="Arial" w:hAnsi="Arial" w:eastAsia="宋体"/>
          <w:b/>
          <w:i/>
          <w:sz w:val="24"/>
          <w:szCs w:val="22"/>
        </w:rPr>
        <w:t>R2-18</w:t>
      </w:r>
      <w:r>
        <w:rPr>
          <w:rFonts w:hint="eastAsia" w:ascii="Arial" w:hAnsi="Arial" w:eastAsia="宋体"/>
          <w:b/>
          <w:i/>
          <w:sz w:val="24"/>
          <w:szCs w:val="22"/>
          <w:lang w:val="en-US" w:eastAsia="zh-CN"/>
        </w:rPr>
        <w:t>04407</w:t>
      </w:r>
    </w:p>
    <w:p>
      <w:pPr>
        <w:overflowPunct/>
        <w:autoSpaceDE/>
        <w:autoSpaceDN/>
        <w:adjustRightInd/>
        <w:spacing w:after="120"/>
        <w:textAlignment w:val="auto"/>
        <w:outlineLvl w:val="0"/>
        <w:rPr>
          <w:rFonts w:ascii="Arial" w:hAnsi="Arial" w:eastAsia="宋体"/>
          <w:b/>
          <w:sz w:val="22"/>
          <w:szCs w:val="22"/>
        </w:rPr>
      </w:pPr>
      <w:r>
        <w:rPr>
          <w:rFonts w:hint="eastAsia" w:ascii="Arial" w:hAnsi="Arial" w:eastAsia="宋体"/>
          <w:b/>
          <w:sz w:val="22"/>
          <w:szCs w:val="22"/>
        </w:rPr>
        <w:t>Sanya, China, 16th - 20th April 2018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val="en-US" w:eastAsia="zh-CN"/>
        </w:rPr>
        <w:t>Consideration on Beam Fairlure Recovery for SCell</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10.3.1.4.</w:t>
      </w:r>
      <w:r>
        <w:rPr>
          <w:rFonts w:hint="eastAsia" w:cs="Arial" w:eastAsiaTheme="minorEastAsia"/>
          <w:sz w:val="22"/>
          <w:szCs w:val="22"/>
          <w:lang w:val="en-US" w:eastAsia="zh-CN"/>
        </w:rPr>
        <w:t>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val="en-US" w:eastAsia="zh-CN"/>
        </w:rPr>
        <w:t xml:space="preserve"> </w:t>
      </w:r>
      <w:r>
        <w:rPr>
          <w:rFonts w:hint="eastAsia" w:eastAsia="宋体" w:cs="Arial"/>
          <w:sz w:val="22"/>
          <w:szCs w:val="22"/>
          <w:lang w:eastAsia="zh-CN"/>
        </w:rPr>
        <w:t>&amp; Decision</w:t>
      </w:r>
    </w:p>
    <w:p>
      <w:pPr>
        <w:pBdr>
          <w:bottom w:val="single" w:color="auto" w:sz="4" w:space="1"/>
        </w:pBdr>
        <w:tabs>
          <w:tab w:val="left" w:pos="2552"/>
        </w:tabs>
        <w:jc w:val="both"/>
      </w:pPr>
    </w:p>
    <w:p>
      <w:pPr>
        <w:pStyle w:val="2"/>
        <w:jc w:val="both"/>
        <w:rPr>
          <w:rFonts w:hint="eastAsia" w:eastAsia="宋体"/>
          <w:lang w:val="en-US" w:eastAsia="zh-CN"/>
        </w:rPr>
      </w:pPr>
      <w:r>
        <w:rPr>
          <w:szCs w:val="28"/>
        </w:rPr>
        <w:t>Introduction</w:t>
      </w:r>
    </w:p>
    <w:p>
      <w:pPr>
        <w:pStyle w:val="3"/>
        <w:rPr>
          <w:rFonts w:hint="eastAsia" w:eastAsia="宋体"/>
          <w:lang w:val="en-US" w:eastAsia="zh-CN"/>
        </w:rPr>
      </w:pPr>
      <w:r>
        <w:rPr>
          <w:rFonts w:hint="eastAsia" w:eastAsia="宋体"/>
          <w:lang w:val="en-US" w:eastAsia="zh-CN"/>
        </w:rPr>
        <w:t>In the RAN2#101 meeting, the following agreement is achieved:</w:t>
      </w:r>
    </w:p>
    <w:p>
      <w:pPr>
        <w:pStyle w:val="42"/>
        <w:pBdr>
          <w:top w:val="single" w:color="auto" w:sz="4" w:space="1"/>
          <w:left w:val="single" w:color="auto" w:sz="4" w:space="4"/>
          <w:bottom w:val="single" w:color="auto" w:sz="4" w:space="1"/>
          <w:right w:val="single" w:color="auto" w:sz="4" w:space="4"/>
        </w:pBdr>
        <w:ind w:left="0" w:leftChars="0" w:firstLine="0" w:firstLineChars="0"/>
        <w:rPr>
          <w:rFonts w:hint="eastAsia" w:eastAsia="宋体" w:cs="Arial"/>
          <w:iCs/>
          <w:lang w:val="en-US" w:eastAsia="zh-CN"/>
        </w:rPr>
      </w:pPr>
      <w:r>
        <w:rPr>
          <w:rFonts w:hint="eastAsia" w:eastAsia="宋体" w:cs="Arial"/>
          <w:iCs/>
          <w:lang w:val="en-US" w:eastAsia="zh-CN"/>
        </w:rPr>
        <w:t>Agreements:</w:t>
      </w:r>
    </w:p>
    <w:p>
      <w:pPr>
        <w:pStyle w:val="42"/>
        <w:pBdr>
          <w:top w:val="single" w:color="auto" w:sz="4" w:space="1"/>
          <w:left w:val="single" w:color="auto" w:sz="4" w:space="4"/>
          <w:bottom w:val="single" w:color="auto" w:sz="4" w:space="1"/>
          <w:right w:val="single" w:color="auto" w:sz="4" w:space="4"/>
        </w:pBdr>
        <w:ind w:left="0" w:leftChars="0" w:firstLine="0" w:firstLineChars="0"/>
        <w:rPr>
          <w:rFonts w:hint="eastAsia" w:eastAsia="宋体"/>
          <w:lang w:val="en-US" w:eastAsia="zh-CN"/>
        </w:rPr>
      </w:pPr>
      <w:r>
        <w:rPr>
          <w:rFonts w:hint="eastAsia" w:eastAsia="宋体" w:cs="Arial"/>
          <w:iCs/>
          <w:lang w:val="en-US" w:eastAsia="zh-CN"/>
        </w:rPr>
        <w:t xml:space="preserve">-  </w:t>
      </w:r>
      <w:r>
        <w:rPr>
          <w:rFonts w:cs="Arial"/>
          <w:iCs/>
        </w:rPr>
        <w:t>Assume that at least CFRA BFR can be configured for SCell using ASN.1.  FFS if there are any major impacts to support this in UP</w:t>
      </w:r>
      <w:r>
        <w:rPr>
          <w:rFonts w:hint="eastAsia" w:eastAsia="宋体" w:cs="Arial"/>
          <w:iCs/>
          <w:lang w:val="en-US" w:eastAsia="zh-CN"/>
        </w:rPr>
        <w:t>.</w:t>
      </w:r>
    </w:p>
    <w:p>
      <w:pPr>
        <w:pStyle w:val="3"/>
        <w:rPr>
          <w:rFonts w:hint="eastAsia" w:eastAsia="宋体"/>
          <w:sz w:val="21"/>
          <w:szCs w:val="22"/>
          <w:lang w:val="en-US" w:eastAsia="zh-CN"/>
        </w:rPr>
      </w:pPr>
      <w:r>
        <w:rPr>
          <w:rFonts w:hint="eastAsia" w:eastAsia="宋体"/>
          <w:sz w:val="21"/>
          <w:szCs w:val="22"/>
          <w:lang w:val="en-US" w:eastAsia="zh-CN"/>
        </w:rPr>
        <w:t>It means that the BFR procedure on SCell should be considered in the current specification. However, the introduction of BFR procedure for SCell may bring a few effects to the current UE behavior. This contribution will share some views about these impacts.</w:t>
      </w:r>
    </w:p>
    <w:p>
      <w:pPr>
        <w:pStyle w:val="3"/>
        <w:pBdr>
          <w:bottom w:val="single" w:color="auto" w:sz="4" w:space="0"/>
        </w:pBdr>
        <w:rPr>
          <w:rFonts w:hint="eastAsia" w:eastAsiaTheme="minorEastAsia"/>
          <w:lang w:val="en-US" w:eastAsia="zh-CN"/>
        </w:rPr>
      </w:pPr>
    </w:p>
    <w:p>
      <w:pPr>
        <w:pStyle w:val="2"/>
        <w:jc w:val="both"/>
        <w:rPr>
          <w:rFonts w:hint="eastAsia"/>
          <w:lang w:val="en-US" w:eastAsia="zh-CN"/>
        </w:rPr>
      </w:pPr>
      <w:r>
        <w:rPr>
          <w:rFonts w:hint="eastAsia"/>
          <w:szCs w:val="28"/>
        </w:rPr>
        <w:t>Discussion</w:t>
      </w:r>
    </w:p>
    <w:p>
      <w:pPr>
        <w:pStyle w:val="3"/>
        <w:rPr>
          <w:rFonts w:hint="eastAsia" w:eastAsia="宋体"/>
          <w:b/>
          <w:bCs/>
          <w:i w:val="0"/>
          <w:iCs w:val="0"/>
          <w:u w:val="single"/>
          <w:lang w:val="en-US" w:eastAsia="zh-CN"/>
        </w:rPr>
      </w:pPr>
      <w:r>
        <w:rPr>
          <w:rFonts w:hint="eastAsia" w:eastAsia="宋体"/>
          <w:b/>
          <w:bCs/>
          <w:i w:val="0"/>
          <w:iCs w:val="0"/>
          <w:u w:val="single"/>
          <w:lang w:val="en-US" w:eastAsia="zh-CN"/>
        </w:rPr>
        <w:t>The random access procedure for BFR  on SCell</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In the current specification, when a UE detect beam failure which is occurred, UE should initiate the CFRA procedure for BFR with reserved RO/Preamble resources, however, UE should fall back to CBRA procedure if there is no candidate beam can fit the RSRP-threshold. Thus in the case of BFR on the  PCell, both CBRA and CFRA should be used for BFR procedure.</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For the case of random access on the SCell, the following agreements have been achieved for RAN2#98 meeting:</w:t>
      </w:r>
    </w:p>
    <w:p>
      <w:pPr>
        <w:pStyle w:val="42"/>
        <w:numPr>
          <w:ilvl w:val="0"/>
          <w:numId w:val="0"/>
        </w:numPr>
        <w:pBdr>
          <w:top w:val="single" w:color="auto" w:sz="4" w:space="1"/>
          <w:left w:val="single" w:color="auto" w:sz="4" w:space="4"/>
          <w:bottom w:val="single" w:color="auto" w:sz="4" w:space="1"/>
          <w:right w:val="single" w:color="auto" w:sz="4" w:space="4"/>
        </w:pBdr>
        <w:ind w:left="200" w:leftChars="0" w:hanging="200" w:hangingChars="100"/>
        <w:rPr>
          <w:rFonts w:hint="eastAsia" w:eastAsia="宋体"/>
          <w:lang w:val="en-US" w:eastAsia="zh-CN"/>
        </w:rPr>
      </w:pPr>
      <w:r>
        <w:rPr>
          <w:rFonts w:hint="eastAsia" w:eastAsia="宋体"/>
          <w:lang w:val="en-US" w:eastAsia="zh-CN"/>
        </w:rPr>
        <w:t>Agreements:</w:t>
      </w:r>
    </w:p>
    <w:p>
      <w:pPr>
        <w:pStyle w:val="42"/>
        <w:numPr>
          <w:ilvl w:val="0"/>
          <w:numId w:val="0"/>
        </w:numPr>
        <w:pBdr>
          <w:top w:val="single" w:color="auto" w:sz="4" w:space="1"/>
          <w:left w:val="single" w:color="auto" w:sz="4" w:space="4"/>
          <w:bottom w:val="single" w:color="auto" w:sz="4" w:space="1"/>
          <w:right w:val="single" w:color="auto" w:sz="4" w:space="4"/>
        </w:pBdr>
        <w:ind w:left="200" w:leftChars="0" w:hanging="200" w:hangingChars="100"/>
        <w:rPr>
          <w:lang w:val="en-US"/>
        </w:rPr>
      </w:pPr>
      <w:r>
        <w:rPr>
          <w:rFonts w:hint="eastAsia" w:eastAsia="宋体"/>
          <w:lang w:val="en-US" w:eastAsia="zh-CN"/>
        </w:rPr>
        <w:t xml:space="preserve">1. </w:t>
      </w:r>
      <w:r>
        <w:rPr>
          <w:lang w:val="en-US"/>
        </w:rPr>
        <w:t>As in LTE, random access procedure can be performed on PCell as well as SCell. In case of SCell (other than PSCell), only contention free random access procedure is performed. Random access procedure for SCell (other than PSCell) is only initiated by network.</w:t>
      </w:r>
    </w:p>
    <w:p>
      <w:pPr>
        <w:pStyle w:val="42"/>
        <w:numPr>
          <w:ilvl w:val="0"/>
          <w:numId w:val="0"/>
        </w:numPr>
        <w:pBdr>
          <w:top w:val="single" w:color="auto" w:sz="4" w:space="1"/>
          <w:left w:val="single" w:color="auto" w:sz="4" w:space="4"/>
          <w:bottom w:val="single" w:color="auto" w:sz="4" w:space="1"/>
          <w:right w:val="single" w:color="auto" w:sz="4" w:space="4"/>
        </w:pBdr>
        <w:ind w:left="200" w:leftChars="0" w:hanging="200" w:hangingChars="100"/>
        <w:rPr>
          <w:lang w:val="en-US"/>
        </w:rPr>
      </w:pPr>
      <w:r>
        <w:rPr>
          <w:rFonts w:hint="eastAsia" w:eastAsia="宋体"/>
          <w:lang w:val="en-US" w:eastAsia="zh-CN"/>
        </w:rPr>
        <w:t xml:space="preserve">2. </w:t>
      </w:r>
      <w:r>
        <w:rPr>
          <w:lang w:val="en-US"/>
        </w:rPr>
        <w:t xml:space="preserve">When performing random access procedure on the PCell while CA is configured, UE transmits the RACH preamble on PCell and receives the corresponding RAR on PCell. </w:t>
      </w:r>
    </w:p>
    <w:p>
      <w:pPr>
        <w:pStyle w:val="42"/>
        <w:numPr>
          <w:ilvl w:val="0"/>
          <w:numId w:val="0"/>
        </w:numPr>
        <w:pBdr>
          <w:top w:val="single" w:color="auto" w:sz="4" w:space="1"/>
          <w:left w:val="single" w:color="auto" w:sz="4" w:space="4"/>
          <w:bottom w:val="single" w:color="auto" w:sz="4" w:space="1"/>
          <w:right w:val="single" w:color="auto" w:sz="4" w:space="4"/>
        </w:pBdr>
        <w:ind w:left="200" w:leftChars="0" w:hanging="200" w:hangingChars="100"/>
        <w:rPr>
          <w:lang w:val="en-US"/>
        </w:rPr>
      </w:pPr>
      <w:r>
        <w:rPr>
          <w:rFonts w:hint="eastAsia" w:eastAsia="宋体"/>
          <w:lang w:val="en-US" w:eastAsia="zh-CN"/>
        </w:rPr>
        <w:t xml:space="preserve">3. </w:t>
      </w:r>
      <w:r>
        <w:rPr>
          <w:lang w:val="en-US"/>
        </w:rPr>
        <w:t>When performing contention free random access procedure on the SCell while CA is configured, UE transmits the RACH preamble on SCell and receives the corresponding RAR on PCell.</w:t>
      </w:r>
    </w:p>
    <w:p>
      <w:pPr>
        <w:pStyle w:val="3"/>
        <w:rPr>
          <w:rFonts w:hint="eastAsia" w:eastAsia="宋体"/>
          <w:b w:val="0"/>
          <w:bCs w:val="0"/>
          <w:i w:val="0"/>
          <w:iCs w:val="0"/>
          <w:u w:val="none"/>
          <w:lang w:val="en-US" w:eastAsia="zh-CN"/>
        </w:rPr>
      </w:pP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 xml:space="preserve">It can be derived that only CFRA is allowed to be initiated on the SCell, and if UE transmits the RACH preamble on SCell, it must receive the corresponding RAR on PCell. </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For the BFR on the PCell, the BFR may trigger either CBRA or CFRA based on whether any suitable candidate beam can be found. Similar as BFR on PCell, two alternatives can be identified for the BFR on SCell:</w:t>
      </w:r>
    </w:p>
    <w:p>
      <w:pPr>
        <w:pStyle w:val="3"/>
        <w:numPr>
          <w:ilvl w:val="0"/>
          <w:numId w:val="5"/>
        </w:numPr>
        <w:ind w:left="420" w:leftChars="0" w:hanging="420" w:firstLineChars="0"/>
        <w:rPr>
          <w:rFonts w:hint="eastAsia" w:eastAsia="宋体"/>
          <w:b w:val="0"/>
          <w:bCs w:val="0"/>
          <w:i w:val="0"/>
          <w:iCs w:val="0"/>
          <w:u w:val="none"/>
          <w:lang w:val="en-US" w:eastAsia="zh-CN"/>
        </w:rPr>
      </w:pPr>
      <w:r>
        <w:rPr>
          <w:rFonts w:hint="eastAsia" w:eastAsia="宋体"/>
          <w:b w:val="0"/>
          <w:bCs w:val="0"/>
          <w:i w:val="0"/>
          <w:iCs w:val="0"/>
          <w:u w:val="none"/>
          <w:lang w:val="en-US" w:eastAsia="zh-CN"/>
        </w:rPr>
        <w:t>Only CFRA is used for BFR</w:t>
      </w:r>
    </w:p>
    <w:p>
      <w:pPr>
        <w:pStyle w:val="3"/>
        <w:numPr>
          <w:ilvl w:val="0"/>
          <w:numId w:val="5"/>
        </w:numPr>
        <w:ind w:left="420" w:leftChars="0" w:hanging="420" w:firstLineChars="0"/>
        <w:rPr>
          <w:rFonts w:hint="eastAsia" w:eastAsia="宋体"/>
          <w:b w:val="0"/>
          <w:bCs w:val="0"/>
          <w:i w:val="0"/>
          <w:iCs w:val="0"/>
          <w:u w:val="none"/>
          <w:lang w:val="en-US" w:eastAsia="zh-CN"/>
        </w:rPr>
      </w:pPr>
      <w:r>
        <w:rPr>
          <w:rFonts w:hint="eastAsia" w:eastAsia="宋体"/>
          <w:b w:val="0"/>
          <w:bCs w:val="0"/>
          <w:i w:val="0"/>
          <w:iCs w:val="0"/>
          <w:u w:val="none"/>
          <w:lang w:val="en-US" w:eastAsia="zh-CN"/>
        </w:rPr>
        <w:t>Both CBRA and CFRA can be used for BFR, which is similar as BFR on PCell</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Based on the agreements we made before, since the CBRA is not supported on SCell, considering the extra complexity and limited time budget, we think it would be nice to stick to the agreements we made before and only support the CFRA based BFR for SCell. Thus we have the following proposal:</w:t>
      </w:r>
    </w:p>
    <w:p>
      <w:pPr>
        <w:pStyle w:val="3"/>
        <w:rPr>
          <w:rFonts w:hint="eastAsia" w:eastAsia="宋体"/>
          <w:b/>
          <w:bCs/>
          <w:i w:val="0"/>
          <w:iCs w:val="0"/>
          <w:u w:val="none"/>
          <w:lang w:val="en-US" w:eastAsia="zh-CN"/>
        </w:rPr>
      </w:pPr>
      <w:r>
        <w:rPr>
          <w:rFonts w:hint="eastAsia" w:eastAsia="宋体"/>
          <w:b/>
          <w:bCs/>
          <w:i w:val="0"/>
          <w:iCs w:val="0"/>
          <w:u w:val="none"/>
          <w:lang w:val="en-US" w:eastAsia="zh-CN"/>
        </w:rPr>
        <w:t>Proposal 1: Only the CFRA based BFR is supported on SCell (i.e. CBRA based BFR is not supported for BFR on SCell).</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If the CBRA isn</w:t>
      </w:r>
      <w:r>
        <w:rPr>
          <w:rFonts w:hint="default" w:eastAsia="宋体"/>
          <w:b w:val="0"/>
          <w:bCs w:val="0"/>
          <w:i w:val="0"/>
          <w:iCs w:val="0"/>
          <w:u w:val="none"/>
          <w:lang w:val="en-US" w:eastAsia="zh-CN"/>
        </w:rPr>
        <w:t>’</w:t>
      </w:r>
      <w:r>
        <w:rPr>
          <w:rFonts w:hint="eastAsia" w:eastAsia="宋体"/>
          <w:b w:val="0"/>
          <w:bCs w:val="0"/>
          <w:i w:val="0"/>
          <w:iCs w:val="0"/>
          <w:u w:val="none"/>
          <w:lang w:val="en-US" w:eastAsia="zh-CN"/>
        </w:rPr>
        <w:t>t supported for BFR on SCell as we proposed above, UE maybe fall into the dilemma if UE have not suitable candidate beam for selection for CFRA based on the current specification. In that case , UE will stick to the RACH procedure and have no idea how to end it. In this context, we give the following alternatives:</w:t>
      </w:r>
    </w:p>
    <w:p>
      <w:pPr>
        <w:pStyle w:val="3"/>
        <w:numPr>
          <w:ilvl w:val="0"/>
          <w:numId w:val="5"/>
        </w:numPr>
        <w:ind w:left="420" w:leftChars="0" w:hanging="420" w:firstLineChars="0"/>
        <w:rPr>
          <w:rFonts w:hint="eastAsia" w:eastAsia="宋体"/>
          <w:b w:val="0"/>
          <w:bCs w:val="0"/>
          <w:i w:val="0"/>
          <w:iCs w:val="0"/>
          <w:sz w:val="21"/>
          <w:szCs w:val="22"/>
          <w:u w:val="none"/>
          <w:lang w:val="en-US" w:eastAsia="zh-CN"/>
        </w:rPr>
      </w:pPr>
      <w:r>
        <w:rPr>
          <w:rFonts w:hint="eastAsia" w:eastAsia="宋体"/>
          <w:b w:val="0"/>
          <w:bCs w:val="0"/>
          <w:i w:val="0"/>
          <w:iCs w:val="0"/>
          <w:sz w:val="21"/>
          <w:szCs w:val="22"/>
          <w:u w:val="none"/>
          <w:lang w:val="en-US" w:eastAsia="zh-CN"/>
        </w:rPr>
        <w:t xml:space="preserve">Alt 1: Support the BeamFailureRecoveryTimer, which is the timer proposed by RAN1 </w:t>
      </w:r>
    </w:p>
    <w:p>
      <w:pPr>
        <w:pStyle w:val="3"/>
        <w:numPr>
          <w:ilvl w:val="0"/>
          <w:numId w:val="5"/>
        </w:numPr>
        <w:ind w:left="420" w:leftChars="0" w:hanging="420" w:firstLineChars="0"/>
        <w:rPr>
          <w:rFonts w:hint="eastAsia" w:eastAsia="宋体"/>
          <w:b w:val="0"/>
          <w:bCs w:val="0"/>
          <w:i w:val="0"/>
          <w:iCs w:val="0"/>
          <w:sz w:val="21"/>
          <w:szCs w:val="22"/>
          <w:u w:val="none"/>
          <w:lang w:val="en-US" w:eastAsia="zh-CN"/>
        </w:rPr>
      </w:pPr>
      <w:r>
        <w:rPr>
          <w:rFonts w:hint="eastAsia" w:eastAsia="宋体"/>
          <w:b w:val="0"/>
          <w:bCs w:val="0"/>
          <w:i w:val="0"/>
          <w:iCs w:val="0"/>
          <w:sz w:val="21"/>
          <w:szCs w:val="22"/>
          <w:u w:val="none"/>
          <w:lang w:val="en-US" w:eastAsia="zh-CN"/>
        </w:rPr>
        <w:t xml:space="preserve">Alt 2: Introduce a new timer </w:t>
      </w:r>
      <w:r>
        <w:rPr>
          <w:rFonts w:hint="default" w:eastAsia="宋体"/>
          <w:b w:val="0"/>
          <w:bCs w:val="0"/>
          <w:i w:val="0"/>
          <w:iCs w:val="0"/>
          <w:sz w:val="21"/>
          <w:szCs w:val="22"/>
          <w:u w:val="none"/>
          <w:lang w:val="en-US" w:eastAsia="zh-CN"/>
        </w:rPr>
        <w:t>“</w:t>
      </w:r>
      <w:r>
        <w:rPr>
          <w:rFonts w:hint="eastAsia" w:eastAsia="宋体"/>
          <w:b w:val="0"/>
          <w:bCs w:val="0"/>
          <w:i w:val="0"/>
          <w:iCs w:val="0"/>
          <w:sz w:val="21"/>
          <w:szCs w:val="22"/>
          <w:u w:val="none"/>
          <w:lang w:val="en-US" w:eastAsia="zh-CN"/>
        </w:rPr>
        <w:t>SCell-bfrTimer</w:t>
      </w:r>
      <w:r>
        <w:rPr>
          <w:rFonts w:hint="default" w:eastAsia="宋体"/>
          <w:b w:val="0"/>
          <w:bCs w:val="0"/>
          <w:i w:val="0"/>
          <w:iCs w:val="0"/>
          <w:sz w:val="21"/>
          <w:szCs w:val="22"/>
          <w:u w:val="none"/>
          <w:lang w:val="en-US" w:eastAsia="zh-CN"/>
        </w:rPr>
        <w:t>”</w:t>
      </w:r>
      <w:r>
        <w:rPr>
          <w:rFonts w:hint="eastAsia" w:eastAsia="宋体"/>
          <w:b w:val="0"/>
          <w:bCs w:val="0"/>
          <w:i w:val="0"/>
          <w:iCs w:val="0"/>
          <w:sz w:val="21"/>
          <w:szCs w:val="22"/>
          <w:u w:val="none"/>
          <w:lang w:val="en-US" w:eastAsia="zh-CN"/>
        </w:rPr>
        <w:t xml:space="preserve"> for SCell BFR specificly (i.e. the timer is only appliable for BFR on SCell). The </w:t>
      </w:r>
      <w:r>
        <w:rPr>
          <w:rFonts w:hint="eastAsia" w:eastAsia="宋体"/>
          <w:b w:val="0"/>
          <w:bCs w:val="0"/>
          <w:i w:val="0"/>
          <w:iCs w:val="0"/>
          <w:u w:val="none"/>
          <w:lang w:val="en-US" w:eastAsia="zh-CN"/>
        </w:rPr>
        <w:t>timer starts once the BFR CFRA procedure is triggered, and UE can continually detect the suitable beams until the expiry of this timer. Once the timer expired, a failure should be report to higher layer.</w:t>
      </w:r>
    </w:p>
    <w:p>
      <w:pPr>
        <w:pStyle w:val="3"/>
        <w:numPr>
          <w:ilvl w:val="0"/>
          <w:numId w:val="5"/>
        </w:numPr>
        <w:ind w:left="420" w:leftChars="0" w:hanging="420" w:firstLineChars="0"/>
        <w:rPr>
          <w:rFonts w:hint="eastAsia" w:eastAsia="宋体"/>
          <w:b w:val="0"/>
          <w:bCs w:val="0"/>
          <w:i w:val="0"/>
          <w:iCs w:val="0"/>
          <w:sz w:val="21"/>
          <w:szCs w:val="22"/>
          <w:u w:val="none"/>
          <w:lang w:val="en-US" w:eastAsia="zh-CN"/>
        </w:rPr>
      </w:pPr>
      <w:r>
        <w:rPr>
          <w:rFonts w:hint="eastAsia" w:eastAsia="宋体"/>
          <w:b w:val="0"/>
          <w:bCs w:val="0"/>
          <w:i w:val="0"/>
          <w:iCs w:val="0"/>
          <w:sz w:val="21"/>
          <w:szCs w:val="22"/>
          <w:u w:val="none"/>
          <w:lang w:val="en-US" w:eastAsia="zh-CN"/>
        </w:rPr>
        <w:t>Alt 3: Stick to RACH procedure until the expiry of  sCellDeactivationTimer (i.e. UE will try to find suitable beams until the SCell has been deactivated implicitly)</w:t>
      </w:r>
    </w:p>
    <w:p>
      <w:pPr>
        <w:pStyle w:val="3"/>
        <w:numPr>
          <w:ilvl w:val="0"/>
          <w:numId w:val="5"/>
        </w:numPr>
        <w:ind w:left="420" w:leftChars="0" w:hanging="420" w:firstLineChars="0"/>
        <w:rPr>
          <w:rFonts w:hint="eastAsia" w:eastAsia="宋体"/>
          <w:b w:val="0"/>
          <w:bCs w:val="0"/>
          <w:i w:val="0"/>
          <w:iCs w:val="0"/>
          <w:sz w:val="21"/>
          <w:szCs w:val="22"/>
          <w:u w:val="none"/>
          <w:lang w:val="en-US" w:eastAsia="zh-CN"/>
        </w:rPr>
      </w:pPr>
      <w:r>
        <w:rPr>
          <w:rFonts w:hint="eastAsia" w:eastAsia="宋体"/>
          <w:b w:val="0"/>
          <w:bCs w:val="0"/>
          <w:i w:val="0"/>
          <w:iCs w:val="0"/>
          <w:sz w:val="21"/>
          <w:szCs w:val="22"/>
          <w:u w:val="none"/>
          <w:lang w:val="en-US" w:eastAsia="zh-CN"/>
        </w:rPr>
        <w:t>Alt 4: UE can randomly select one candidate beam to start the CFRA procedure, which is similar as what we have done in CBRA.</w:t>
      </w:r>
    </w:p>
    <w:p>
      <w:pPr>
        <w:pStyle w:val="3"/>
        <w:rPr>
          <w:rFonts w:hint="eastAsia" w:eastAsia="宋体"/>
          <w:i w:val="0"/>
          <w:iCs/>
          <w:lang w:val="en-US" w:eastAsia="zh-CN"/>
        </w:rPr>
      </w:pPr>
      <w:r>
        <w:rPr>
          <w:rFonts w:hint="eastAsia" w:eastAsia="宋体"/>
          <w:i w:val="0"/>
          <w:iCs/>
          <w:lang w:val="en-US" w:eastAsia="zh-CN"/>
        </w:rPr>
        <w:t>With the 4 alternatives, we propose that:</w:t>
      </w:r>
    </w:p>
    <w:p>
      <w:pPr>
        <w:pStyle w:val="3"/>
        <w:rPr>
          <w:rFonts w:hint="eastAsia" w:eastAsia="宋体"/>
          <w:b/>
          <w:bCs/>
          <w:i w:val="0"/>
          <w:iCs w:val="0"/>
          <w:u w:val="single"/>
          <w:lang w:val="en-US" w:eastAsia="zh-CN"/>
        </w:rPr>
      </w:pPr>
      <w:r>
        <w:rPr>
          <w:rFonts w:hint="eastAsia" w:eastAsia="宋体"/>
          <w:b/>
          <w:bCs/>
          <w:i w:val="0"/>
          <w:iCs/>
          <w:lang w:val="en-US" w:eastAsia="zh-CN"/>
        </w:rPr>
        <w:t>Proposal 2: RAN 2 s</w:t>
      </w:r>
      <w:bookmarkStart w:id="3" w:name="_GoBack"/>
      <w:bookmarkEnd w:id="3"/>
      <w:r>
        <w:rPr>
          <w:rFonts w:hint="eastAsia" w:eastAsia="宋体"/>
          <w:b/>
          <w:bCs/>
          <w:i w:val="0"/>
          <w:iCs/>
          <w:lang w:val="en-US" w:eastAsia="zh-CN"/>
        </w:rPr>
        <w:t>hould select one of the above methods to prevent UE from falling into the endless RACH procedure in the case of the BFR CFRA</w:t>
      </w:r>
      <w:r>
        <w:rPr>
          <w:rFonts w:hint="eastAsia" w:eastAsia="宋体"/>
          <w:b/>
          <w:bCs/>
          <w:i w:val="0"/>
          <w:iCs w:val="0"/>
          <w:u w:val="none"/>
          <w:lang w:val="en-US" w:eastAsia="zh-CN"/>
        </w:rPr>
        <w:t xml:space="preserve">. </w:t>
      </w:r>
    </w:p>
    <w:p>
      <w:pPr>
        <w:pStyle w:val="2"/>
        <w:pBdr>
          <w:top w:val="single" w:color="auto" w:sz="4" w:space="0"/>
        </w:pBdr>
        <w:jc w:val="both"/>
      </w:pPr>
      <w:r>
        <w:t>Conclusion</w:t>
      </w:r>
    </w:p>
    <w:p>
      <w:pPr>
        <w:pStyle w:val="3"/>
        <w:rPr>
          <w:rFonts w:hint="eastAsia" w:eastAsia="宋体"/>
          <w:lang w:val="en-GB" w:eastAsia="zh-CN"/>
        </w:rPr>
      </w:pPr>
      <w:r>
        <w:rPr>
          <w:rFonts w:eastAsia="宋体"/>
          <w:lang w:val="en-GB" w:eastAsia="zh-CN"/>
        </w:rPr>
        <w:t>A</w:t>
      </w:r>
      <w:r>
        <w:rPr>
          <w:rFonts w:hint="eastAsia" w:eastAsia="宋体"/>
          <w:lang w:val="en-GB" w:eastAsia="zh-CN"/>
        </w:rPr>
        <w:t xml:space="preserve">s described above, we </w:t>
      </w:r>
      <w:r>
        <w:rPr>
          <w:rFonts w:hint="eastAsia" w:eastAsia="宋体"/>
          <w:lang w:val="en-US" w:eastAsia="zh-CN"/>
        </w:rPr>
        <w:t xml:space="preserve">give our </w:t>
      </w:r>
      <w:r>
        <w:rPr>
          <w:rFonts w:hint="eastAsia" w:eastAsia="宋体"/>
          <w:lang w:val="en-GB" w:eastAsia="zh-CN"/>
        </w:rPr>
        <w:t>propos</w:t>
      </w:r>
      <w:r>
        <w:rPr>
          <w:rFonts w:hint="eastAsia" w:eastAsia="宋体"/>
          <w:lang w:val="en-US" w:eastAsia="zh-CN"/>
        </w:rPr>
        <w:t>al as follow</w:t>
      </w:r>
      <w:r>
        <w:rPr>
          <w:rFonts w:hint="eastAsia" w:eastAsia="宋体"/>
          <w:lang w:val="en-GB" w:eastAsia="zh-CN"/>
        </w:rPr>
        <w:t>:</w:t>
      </w:r>
    </w:p>
    <w:p>
      <w:pPr>
        <w:pStyle w:val="3"/>
        <w:rPr>
          <w:rFonts w:hint="eastAsia" w:eastAsia="宋体"/>
          <w:b/>
          <w:bCs/>
          <w:i w:val="0"/>
          <w:iCs w:val="0"/>
          <w:u w:val="none"/>
          <w:lang w:val="en-US" w:eastAsia="zh-CN"/>
        </w:rPr>
      </w:pPr>
      <w:r>
        <w:rPr>
          <w:rFonts w:hint="eastAsia" w:eastAsia="宋体"/>
          <w:b/>
          <w:bCs/>
          <w:i w:val="0"/>
          <w:iCs w:val="0"/>
          <w:u w:val="none"/>
          <w:lang w:val="en-US" w:eastAsia="zh-CN"/>
        </w:rPr>
        <w:t>Proposal 1: Only the CFRA based BFR is supported on SCell (i.e. CBRA based BFR is not supported for BFR on SCell).</w:t>
      </w:r>
    </w:p>
    <w:p>
      <w:pPr>
        <w:pStyle w:val="3"/>
        <w:rPr>
          <w:rFonts w:hint="eastAsia" w:eastAsia="宋体"/>
          <w:b/>
          <w:bCs/>
          <w:i w:val="0"/>
          <w:iCs w:val="0"/>
          <w:u w:val="none"/>
          <w:lang w:val="en-US" w:eastAsia="zh-CN"/>
        </w:rPr>
      </w:pPr>
      <w:r>
        <w:rPr>
          <w:rFonts w:hint="eastAsia" w:eastAsia="宋体"/>
          <w:b/>
          <w:bCs/>
          <w:i w:val="0"/>
          <w:iCs/>
          <w:lang w:val="en-US" w:eastAsia="zh-CN"/>
        </w:rPr>
        <w:t>Proposal 2:  RAN 2 should select one of the below methods to prevent UE from falling into endless RACH procedure in the case of the BFR CFRA</w:t>
      </w:r>
      <w:r>
        <w:rPr>
          <w:rFonts w:hint="eastAsia" w:eastAsia="宋体"/>
          <w:b/>
          <w:bCs/>
          <w:i w:val="0"/>
          <w:iCs w:val="0"/>
          <w:u w:val="none"/>
          <w:lang w:val="en-US" w:eastAsia="zh-CN"/>
        </w:rPr>
        <w:t xml:space="preserve">. </w:t>
      </w:r>
    </w:p>
    <w:p>
      <w:pPr>
        <w:pStyle w:val="3"/>
        <w:numPr>
          <w:ilvl w:val="0"/>
          <w:numId w:val="6"/>
        </w:numPr>
        <w:ind w:left="420" w:leftChars="0" w:hanging="420" w:firstLineChars="0"/>
        <w:rPr>
          <w:rFonts w:hint="eastAsia" w:eastAsia="宋体"/>
          <w:b w:val="0"/>
          <w:bCs w:val="0"/>
          <w:i/>
          <w:iCs/>
          <w:highlight w:val="none"/>
          <w:u w:val="none"/>
          <w:lang w:val="en-US" w:eastAsia="zh-CN"/>
        </w:rPr>
      </w:pPr>
      <w:r>
        <w:rPr>
          <w:rFonts w:hint="eastAsia" w:eastAsia="宋体"/>
          <w:b w:val="0"/>
          <w:bCs w:val="0"/>
          <w:i w:val="0"/>
          <w:iCs w:val="0"/>
          <w:highlight w:val="none"/>
          <w:u w:val="none"/>
          <w:lang w:val="en-US" w:eastAsia="zh-CN"/>
        </w:rPr>
        <w:t>Alt 1: support the</w:t>
      </w:r>
      <w:r>
        <w:rPr>
          <w:rFonts w:hint="eastAsia" w:eastAsia="宋体"/>
          <w:b w:val="0"/>
          <w:bCs w:val="0"/>
          <w:i/>
          <w:iCs/>
          <w:highlight w:val="none"/>
          <w:u w:val="none"/>
          <w:lang w:val="en-US" w:eastAsia="zh-CN"/>
        </w:rPr>
        <w:t xml:space="preserve"> BeamFailureRecoveryTimer </w:t>
      </w:r>
    </w:p>
    <w:p>
      <w:pPr>
        <w:pStyle w:val="3"/>
        <w:numPr>
          <w:ilvl w:val="0"/>
          <w:numId w:val="6"/>
        </w:numPr>
        <w:ind w:left="420" w:leftChars="0" w:hanging="420" w:firstLineChars="0"/>
        <w:rPr>
          <w:rFonts w:hint="eastAsia" w:eastAsia="宋体"/>
          <w:b w:val="0"/>
          <w:bCs w:val="0"/>
          <w:i w:val="0"/>
          <w:iCs w:val="0"/>
          <w:color w:val="auto"/>
          <w:highlight w:val="none"/>
          <w:u w:val="none"/>
          <w:lang w:val="en-US" w:eastAsia="zh-CN"/>
        </w:rPr>
      </w:pPr>
      <w:r>
        <w:rPr>
          <w:rFonts w:hint="eastAsia" w:eastAsia="宋体"/>
          <w:b w:val="0"/>
          <w:bCs w:val="0"/>
          <w:i w:val="0"/>
          <w:iCs w:val="0"/>
          <w:highlight w:val="none"/>
          <w:u w:val="none"/>
          <w:lang w:val="en-US" w:eastAsia="zh-CN"/>
        </w:rPr>
        <w:t xml:space="preserve">Alt 2: introduce a new timer </w:t>
      </w:r>
      <w:r>
        <w:rPr>
          <w:rFonts w:hint="default" w:eastAsia="宋体"/>
          <w:b w:val="0"/>
          <w:bCs w:val="0"/>
          <w:i w:val="0"/>
          <w:iCs w:val="0"/>
          <w:highlight w:val="none"/>
          <w:u w:val="none"/>
          <w:lang w:val="en-US" w:eastAsia="zh-CN"/>
        </w:rPr>
        <w:t>“</w:t>
      </w:r>
      <w:r>
        <w:rPr>
          <w:rFonts w:hint="eastAsia" w:eastAsia="宋体"/>
          <w:b w:val="0"/>
          <w:bCs w:val="0"/>
          <w:i/>
          <w:iCs/>
          <w:highlight w:val="none"/>
          <w:u w:val="none"/>
          <w:lang w:val="en-US" w:eastAsia="zh-CN"/>
        </w:rPr>
        <w:t>SCell-bfrTimer</w:t>
      </w:r>
      <w:r>
        <w:rPr>
          <w:rFonts w:hint="default" w:eastAsia="宋体"/>
          <w:b w:val="0"/>
          <w:bCs w:val="0"/>
          <w:i/>
          <w:iCs/>
          <w:highlight w:val="none"/>
          <w:u w:val="none"/>
          <w:lang w:val="en-US" w:eastAsia="zh-CN"/>
        </w:rPr>
        <w:t>”</w:t>
      </w:r>
      <w:r>
        <w:rPr>
          <w:rFonts w:hint="eastAsia" w:eastAsia="宋体"/>
          <w:b w:val="0"/>
          <w:bCs w:val="0"/>
          <w:i/>
          <w:iCs/>
          <w:highlight w:val="none"/>
          <w:u w:val="none"/>
          <w:lang w:val="en-US" w:eastAsia="zh-CN"/>
        </w:rPr>
        <w:t xml:space="preserve"> </w:t>
      </w:r>
      <w:r>
        <w:rPr>
          <w:rFonts w:hint="eastAsia" w:eastAsia="宋体"/>
          <w:b w:val="0"/>
          <w:bCs w:val="0"/>
          <w:i w:val="0"/>
          <w:iCs w:val="0"/>
          <w:highlight w:val="none"/>
          <w:u w:val="none"/>
          <w:lang w:val="en-US" w:eastAsia="zh-CN"/>
        </w:rPr>
        <w:t>for</w:t>
      </w:r>
      <w:r>
        <w:rPr>
          <w:rFonts w:hint="eastAsia" w:eastAsia="宋体"/>
          <w:b w:val="0"/>
          <w:bCs w:val="0"/>
          <w:i/>
          <w:iCs/>
          <w:highlight w:val="none"/>
          <w:u w:val="none"/>
          <w:lang w:val="en-US" w:eastAsia="zh-CN"/>
        </w:rPr>
        <w:t xml:space="preserve"> </w:t>
      </w:r>
      <w:r>
        <w:rPr>
          <w:rFonts w:hint="eastAsia" w:eastAsia="宋体"/>
          <w:b w:val="0"/>
          <w:bCs w:val="0"/>
          <w:i w:val="0"/>
          <w:iCs w:val="0"/>
          <w:highlight w:val="none"/>
          <w:u w:val="none"/>
          <w:lang w:val="en-US" w:eastAsia="zh-CN"/>
        </w:rPr>
        <w:t xml:space="preserve"> SCell BFR </w:t>
      </w:r>
    </w:p>
    <w:p>
      <w:pPr>
        <w:pStyle w:val="3"/>
        <w:numPr>
          <w:ilvl w:val="0"/>
          <w:numId w:val="6"/>
        </w:numPr>
        <w:ind w:left="420" w:leftChars="0" w:hanging="420" w:firstLineChars="0"/>
        <w:rPr>
          <w:i/>
          <w:highlight w:val="none"/>
        </w:rPr>
      </w:pPr>
      <w:r>
        <w:rPr>
          <w:rFonts w:hint="eastAsia" w:eastAsia="宋体"/>
          <w:b w:val="0"/>
          <w:bCs w:val="0"/>
          <w:i w:val="0"/>
          <w:iCs w:val="0"/>
          <w:highlight w:val="none"/>
          <w:u w:val="none"/>
          <w:lang w:val="en-US" w:eastAsia="zh-CN"/>
        </w:rPr>
        <w:t xml:space="preserve">Alt 3: stick to RACH procedure until the expiry of </w:t>
      </w:r>
      <w:r>
        <w:rPr>
          <w:highlight w:val="none"/>
        </w:rPr>
        <w:t xml:space="preserve"> </w:t>
      </w:r>
      <w:r>
        <w:rPr>
          <w:i/>
          <w:highlight w:val="none"/>
        </w:rPr>
        <w:t>sCellDeactivationTimer</w:t>
      </w:r>
    </w:p>
    <w:p>
      <w:pPr>
        <w:pStyle w:val="3"/>
        <w:numPr>
          <w:ilvl w:val="0"/>
          <w:numId w:val="6"/>
        </w:numPr>
        <w:ind w:left="420" w:leftChars="0" w:hanging="420" w:firstLineChars="0"/>
        <w:rPr>
          <w:rFonts w:hint="eastAsia" w:eastAsia="宋体"/>
          <w:b/>
          <w:bCs/>
          <w:i w:val="0"/>
          <w:iCs w:val="0"/>
          <w:u w:val="none"/>
          <w:lang w:val="en-US" w:eastAsia="zh-CN"/>
        </w:rPr>
      </w:pPr>
      <w:r>
        <w:rPr>
          <w:rFonts w:hint="eastAsia" w:eastAsia="宋体"/>
          <w:b w:val="0"/>
          <w:bCs w:val="0"/>
          <w:i w:val="0"/>
          <w:iCs w:val="0"/>
          <w:highlight w:val="none"/>
          <w:u w:val="none"/>
          <w:lang w:val="en-US" w:eastAsia="zh-CN"/>
        </w:rPr>
        <w:t xml:space="preserve">Alt </w:t>
      </w:r>
      <w:r>
        <w:rPr>
          <w:rFonts w:hint="eastAsia" w:eastAsia="宋体"/>
          <w:i w:val="0"/>
          <w:iCs/>
          <w:highlight w:val="none"/>
          <w:lang w:val="en-US" w:eastAsia="zh-CN"/>
        </w:rPr>
        <w:t>4: UE can random select one candidate beam to start the CFRA procedure</w:t>
      </w:r>
    </w:p>
    <w:p>
      <w:pPr>
        <w:pStyle w:val="3"/>
        <w:pBdr>
          <w:bottom w:val="single" w:color="auto" w:sz="4" w:space="0"/>
        </w:pBdr>
        <w:rPr>
          <w:rFonts w:ascii="Arial" w:hAnsi="Arial" w:eastAsiaTheme="minorEastAsia"/>
          <w:lang w:val="en-GB" w:eastAsia="zh-CN"/>
        </w:rPr>
      </w:pPr>
    </w:p>
    <w:p>
      <w:pPr>
        <w:pStyle w:val="2"/>
        <w:jc w:val="both"/>
      </w:pPr>
      <w:r>
        <w:t>References</w:t>
      </w:r>
    </w:p>
    <w:p>
      <w:pPr>
        <w:pStyle w:val="3"/>
        <w:rPr>
          <w:rFonts w:eastAsia="宋体"/>
          <w:lang w:val="en-GB" w:eastAsia="zh-CN"/>
        </w:rPr>
      </w:pPr>
      <w:r>
        <w:rPr>
          <w:rFonts w:hint="eastAsia" w:eastAsia="宋体"/>
          <w:lang w:val="en-GB" w:eastAsia="zh-CN"/>
        </w:rPr>
        <w:t>[1]  NR UP and R14 LTE minutes RAN2-101_02-03-18_final</w:t>
      </w:r>
    </w:p>
    <w:p>
      <w:pPr>
        <w:pStyle w:val="3"/>
        <w:rPr>
          <w:rFonts w:eastAsia="宋体"/>
          <w:lang w:val="en-GB" w:eastAsia="zh-CN"/>
        </w:rPr>
      </w:pPr>
    </w:p>
    <w:p>
      <w:pPr>
        <w:pStyle w:val="3"/>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4</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47AB1F"/>
    <w:multiLevelType w:val="singleLevel"/>
    <w:tmpl w:val="FC47AB1F"/>
    <w:lvl w:ilvl="0" w:tentative="0">
      <w:start w:val="1"/>
      <w:numFmt w:val="bullet"/>
      <w:lvlText w:val=""/>
      <w:lvlJc w:val="left"/>
      <w:pPr>
        <w:ind w:left="420" w:hanging="420"/>
      </w:pPr>
      <w:rPr>
        <w:rFonts w:hint="default" w:ascii="Wingdings" w:hAnsi="Wingdings"/>
      </w:rPr>
    </w:lvl>
  </w:abstractNum>
  <w:abstractNum w:abstractNumId="1">
    <w:nsid w:val="0B717723"/>
    <w:multiLevelType w:val="singleLevel"/>
    <w:tmpl w:val="0B717723"/>
    <w:lvl w:ilvl="0" w:tentative="0">
      <w:start w:val="1"/>
      <w:numFmt w:val="bullet"/>
      <w:lvlText w:val=""/>
      <w:lvlJc w:val="left"/>
      <w:pPr>
        <w:ind w:left="420" w:hanging="42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noPunctuationKerning w:val="1"/>
  <w:characterSpacingControl w:val="doNotCompress"/>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FC"/>
    <w:rsid w:val="00000A10"/>
    <w:rsid w:val="00000EB2"/>
    <w:rsid w:val="00001C9F"/>
    <w:rsid w:val="0000202E"/>
    <w:rsid w:val="00002FDB"/>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894"/>
    <w:rsid w:val="00165B2B"/>
    <w:rsid w:val="0016631A"/>
    <w:rsid w:val="00167A07"/>
    <w:rsid w:val="0017068B"/>
    <w:rsid w:val="00171431"/>
    <w:rsid w:val="00171E5B"/>
    <w:rsid w:val="001724B1"/>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66C0"/>
    <w:rsid w:val="00216ACF"/>
    <w:rsid w:val="00217FB1"/>
    <w:rsid w:val="00220678"/>
    <w:rsid w:val="00221A01"/>
    <w:rsid w:val="00223E82"/>
    <w:rsid w:val="0022409D"/>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0684"/>
    <w:rsid w:val="002A1239"/>
    <w:rsid w:val="002A1CAD"/>
    <w:rsid w:val="002A2A99"/>
    <w:rsid w:val="002A2E78"/>
    <w:rsid w:val="002A36CC"/>
    <w:rsid w:val="002A50CB"/>
    <w:rsid w:val="002A6356"/>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670A"/>
    <w:rsid w:val="0047727E"/>
    <w:rsid w:val="00480980"/>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B7D"/>
    <w:rsid w:val="00515E03"/>
    <w:rsid w:val="00521459"/>
    <w:rsid w:val="005217F1"/>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25D3"/>
    <w:rsid w:val="00592649"/>
    <w:rsid w:val="00592C00"/>
    <w:rsid w:val="00593030"/>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C5F"/>
    <w:rsid w:val="006D19A8"/>
    <w:rsid w:val="006D1D7B"/>
    <w:rsid w:val="006D20E6"/>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38E"/>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5EB6"/>
    <w:rsid w:val="0091712F"/>
    <w:rsid w:val="0092105F"/>
    <w:rsid w:val="00921B64"/>
    <w:rsid w:val="00921D17"/>
    <w:rsid w:val="00922091"/>
    <w:rsid w:val="0092320F"/>
    <w:rsid w:val="009238AB"/>
    <w:rsid w:val="00923934"/>
    <w:rsid w:val="00923C74"/>
    <w:rsid w:val="00923DF8"/>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E2D"/>
    <w:rsid w:val="00984E31"/>
    <w:rsid w:val="00984F54"/>
    <w:rsid w:val="00985AE1"/>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455"/>
    <w:rsid w:val="00A33608"/>
    <w:rsid w:val="00A33F16"/>
    <w:rsid w:val="00A34C7A"/>
    <w:rsid w:val="00A35984"/>
    <w:rsid w:val="00A35A16"/>
    <w:rsid w:val="00A36DB1"/>
    <w:rsid w:val="00A40D62"/>
    <w:rsid w:val="00A4161C"/>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A9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393E"/>
    <w:rsid w:val="00D64938"/>
    <w:rsid w:val="00D64DFA"/>
    <w:rsid w:val="00D65811"/>
    <w:rsid w:val="00D6738B"/>
    <w:rsid w:val="00D67DB1"/>
    <w:rsid w:val="00D725F2"/>
    <w:rsid w:val="00D726FC"/>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52D0"/>
    <w:rsid w:val="00DF53E4"/>
    <w:rsid w:val="00DF628C"/>
    <w:rsid w:val="00DF70A7"/>
    <w:rsid w:val="00E02291"/>
    <w:rsid w:val="00E05A10"/>
    <w:rsid w:val="00E0601A"/>
    <w:rsid w:val="00E06E2C"/>
    <w:rsid w:val="00E074FA"/>
    <w:rsid w:val="00E07AA8"/>
    <w:rsid w:val="00E10C2A"/>
    <w:rsid w:val="00E1183B"/>
    <w:rsid w:val="00E11A18"/>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79F"/>
    <w:rsid w:val="00F2403B"/>
    <w:rsid w:val="00F244A1"/>
    <w:rsid w:val="00F25A0E"/>
    <w:rsid w:val="00F270B2"/>
    <w:rsid w:val="00F27A26"/>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BE5DD0"/>
    <w:rsid w:val="02ED780F"/>
    <w:rsid w:val="02F63080"/>
    <w:rsid w:val="050B5098"/>
    <w:rsid w:val="073444D8"/>
    <w:rsid w:val="07BB1288"/>
    <w:rsid w:val="0C7053C7"/>
    <w:rsid w:val="0DF11F2D"/>
    <w:rsid w:val="0F3573CF"/>
    <w:rsid w:val="10081732"/>
    <w:rsid w:val="131B3A72"/>
    <w:rsid w:val="14277174"/>
    <w:rsid w:val="14890F28"/>
    <w:rsid w:val="16E627A6"/>
    <w:rsid w:val="16E650F6"/>
    <w:rsid w:val="17610120"/>
    <w:rsid w:val="17E928D8"/>
    <w:rsid w:val="184F4020"/>
    <w:rsid w:val="1A8A5B7E"/>
    <w:rsid w:val="1AF2495A"/>
    <w:rsid w:val="1B2F18A9"/>
    <w:rsid w:val="1BAE78BD"/>
    <w:rsid w:val="1E831CAA"/>
    <w:rsid w:val="21F23AF7"/>
    <w:rsid w:val="257D5651"/>
    <w:rsid w:val="262D68DD"/>
    <w:rsid w:val="27366AC4"/>
    <w:rsid w:val="27DE68C3"/>
    <w:rsid w:val="28D01C3C"/>
    <w:rsid w:val="28EC1E80"/>
    <w:rsid w:val="2B0741F4"/>
    <w:rsid w:val="2BCC6569"/>
    <w:rsid w:val="2DFE3C75"/>
    <w:rsid w:val="32545228"/>
    <w:rsid w:val="327276DD"/>
    <w:rsid w:val="32EC13F0"/>
    <w:rsid w:val="3388125C"/>
    <w:rsid w:val="3472228A"/>
    <w:rsid w:val="348F3B12"/>
    <w:rsid w:val="37BD5DA5"/>
    <w:rsid w:val="3D446030"/>
    <w:rsid w:val="3D754879"/>
    <w:rsid w:val="3EDD524D"/>
    <w:rsid w:val="407147E1"/>
    <w:rsid w:val="41BA5A44"/>
    <w:rsid w:val="420E751F"/>
    <w:rsid w:val="4402734F"/>
    <w:rsid w:val="448D68E3"/>
    <w:rsid w:val="453F67C5"/>
    <w:rsid w:val="45EB124D"/>
    <w:rsid w:val="462E22F2"/>
    <w:rsid w:val="4676484C"/>
    <w:rsid w:val="46D33B77"/>
    <w:rsid w:val="47ED598E"/>
    <w:rsid w:val="4A4F7CB0"/>
    <w:rsid w:val="4C5414B2"/>
    <w:rsid w:val="4D660FD1"/>
    <w:rsid w:val="4D8106F4"/>
    <w:rsid w:val="4E924673"/>
    <w:rsid w:val="4EF1316B"/>
    <w:rsid w:val="503F487A"/>
    <w:rsid w:val="550557EC"/>
    <w:rsid w:val="55D1447D"/>
    <w:rsid w:val="57DD2170"/>
    <w:rsid w:val="583A3525"/>
    <w:rsid w:val="5913647E"/>
    <w:rsid w:val="59724A8E"/>
    <w:rsid w:val="5F93457E"/>
    <w:rsid w:val="6222246A"/>
    <w:rsid w:val="63C70454"/>
    <w:rsid w:val="6739584B"/>
    <w:rsid w:val="677E766A"/>
    <w:rsid w:val="69824E63"/>
    <w:rsid w:val="69F1280A"/>
    <w:rsid w:val="69F55E80"/>
    <w:rsid w:val="6A262A52"/>
    <w:rsid w:val="6A531F87"/>
    <w:rsid w:val="6A64721F"/>
    <w:rsid w:val="6CFC759F"/>
    <w:rsid w:val="6F101A3C"/>
    <w:rsid w:val="70494419"/>
    <w:rsid w:val="70EF7B90"/>
    <w:rsid w:val="71226B6A"/>
    <w:rsid w:val="715C00A0"/>
    <w:rsid w:val="7304710B"/>
    <w:rsid w:val="75C8748F"/>
    <w:rsid w:val="77815A3B"/>
    <w:rsid w:val="77A9757E"/>
    <w:rsid w:val="77B90A1B"/>
    <w:rsid w:val="780B5D1F"/>
    <w:rsid w:val="7B047176"/>
    <w:rsid w:val="7DAD53E2"/>
    <w:rsid w:val="7DDA1D66"/>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1"/>
    <w:semiHidden/>
    <w:qFormat/>
    <w:uiPriority w:val="99"/>
  </w:style>
  <w:style w:type="paragraph" w:styleId="10">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0"/>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9"/>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9AE7F-583F-4156-8932-5DA76D111143}">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1036</Words>
  <Characters>5911</Characters>
  <Lines>49</Lines>
  <Paragraphs>13</Paragraphs>
  <ScaleCrop>false</ScaleCrop>
  <LinksUpToDate>false</LinksUpToDate>
  <CharactersWithSpaces>6934</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2017-06-14T14:20:00Z</dcterms:created>
  <dc:creator>DaTang Mobile</dc:creator>
  <cp:lastModifiedBy>ZTE</cp:lastModifiedBy>
  <cp:lastPrinted>2007-08-28T14:45:00Z</cp:lastPrinted>
  <dcterms:modified xsi:type="dcterms:W3CDTF">2018-04-05T14:23:45Z</dcterms:modified>
  <dc:title>3GPP contribution</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